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bookmarkStart w:id="0" w:name="_GoBack"/>
      <w:bookmarkEnd w:id="0"/>
      <w:r>
        <w:rPr>
          <w:rFonts w:cs="Arial"/>
          <w:sz w:val="20"/>
        </w:rPr>
        <w:t>ENQUIRY</w:t>
      </w:r>
      <w:r w:rsidR="00F821F7">
        <w:rPr>
          <w:rFonts w:cs="Arial"/>
          <w:sz w:val="20"/>
        </w:rPr>
        <w:t xml:space="preserve"> NO: TMH/TMH</w:t>
      </w:r>
      <w:r w:rsidR="00F632DA">
        <w:rPr>
          <w:rFonts w:cs="Arial"/>
          <w:sz w:val="20"/>
        </w:rPr>
        <w:t>/2021-22</w:t>
      </w:r>
      <w:r w:rsidR="00F821F7">
        <w:rPr>
          <w:rFonts w:cs="Arial"/>
          <w:sz w:val="20"/>
        </w:rPr>
        <w:t>/CAP/LT/0137</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F821F7">
        <w:rPr>
          <w:rFonts w:cs="Arial"/>
          <w:sz w:val="20"/>
        </w:rPr>
        <w:t>18</w:t>
      </w:r>
      <w:r w:rsidR="00151EEE">
        <w:rPr>
          <w:rFonts w:cs="Arial"/>
          <w:sz w:val="20"/>
        </w:rPr>
        <w:t>/01/2022</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F821F7">
        <w:rPr>
          <w:rFonts w:cs="Arial"/>
          <w:sz w:val="20"/>
        </w:rPr>
        <w:t>19</w:t>
      </w:r>
      <w:r w:rsidR="00151EEE">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F821F7" w:rsidP="00924292">
      <w:pPr>
        <w:jc w:val="right"/>
        <w:rPr>
          <w:rFonts w:ascii="Arial" w:hAnsi="Arial" w:cs="Arial"/>
          <w:b/>
          <w:sz w:val="20"/>
          <w:szCs w:val="20"/>
        </w:rPr>
      </w:pPr>
      <w:r>
        <w:rPr>
          <w:rFonts w:ascii="Arial" w:hAnsi="Arial" w:cs="Arial"/>
          <w:b/>
          <w:sz w:val="20"/>
          <w:szCs w:val="20"/>
        </w:rPr>
        <w:t>23/12/2021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sidR="00F821F7">
        <w:rPr>
          <w:rFonts w:cs="Arial"/>
          <w:sz w:val="20"/>
        </w:rPr>
        <w:t xml:space="preserve">for </w:t>
      </w:r>
      <w:r w:rsidR="00F821F7" w:rsidRPr="00F821F7">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CD39DE">
        <w:rPr>
          <w:rFonts w:ascii="Arial" w:hAnsi="Arial" w:cs="Arial"/>
          <w:b/>
          <w:sz w:val="20"/>
          <w:szCs w:val="20"/>
        </w:rPr>
        <w:t>TM</w:t>
      </w:r>
      <w:r w:rsidR="00F821F7">
        <w:rPr>
          <w:rFonts w:ascii="Arial" w:hAnsi="Arial" w:cs="Arial"/>
          <w:b/>
          <w:sz w:val="20"/>
          <w:szCs w:val="20"/>
        </w:rPr>
        <w:t>H</w:t>
      </w:r>
      <w:r w:rsidR="00F632DA">
        <w:rPr>
          <w:rFonts w:ascii="Arial" w:hAnsi="Arial" w:cs="Arial"/>
          <w:b/>
          <w:sz w:val="20"/>
          <w:szCs w:val="20"/>
        </w:rPr>
        <w:t>/2021-22</w:t>
      </w:r>
      <w:r w:rsidRPr="00961606">
        <w:rPr>
          <w:rFonts w:ascii="Arial" w:hAnsi="Arial" w:cs="Arial"/>
          <w:b/>
          <w:sz w:val="20"/>
          <w:szCs w:val="20"/>
        </w:rPr>
        <w:t>/CAP/LT/0</w:t>
      </w:r>
      <w:r w:rsidR="00F821F7">
        <w:rPr>
          <w:rFonts w:ascii="Arial" w:hAnsi="Arial" w:cs="Arial"/>
          <w:b/>
          <w:sz w:val="20"/>
          <w:szCs w:val="20"/>
        </w:rPr>
        <w:t>137</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F821F7">
        <w:rPr>
          <w:rFonts w:ascii="Arial" w:hAnsi="Arial" w:cs="Arial"/>
          <w:b/>
          <w:bCs/>
          <w:sz w:val="20"/>
          <w:szCs w:val="20"/>
        </w:rPr>
        <w:t>Radio Visuo Gram (RVG)</w:t>
      </w:r>
      <w:r w:rsidR="00775B13">
        <w:rPr>
          <w:rFonts w:ascii="Arial" w:hAnsi="Arial" w:cs="Arial"/>
          <w:b/>
          <w:bCs/>
          <w:sz w:val="20"/>
          <w:szCs w:val="20"/>
        </w:rPr>
        <w:t>”</w:t>
      </w:r>
      <w:r w:rsidR="005C5ED7">
        <w:rPr>
          <w:rFonts w:ascii="Arial" w:hAnsi="Arial" w:cs="Arial"/>
          <w:b/>
          <w:bCs/>
          <w:sz w:val="20"/>
          <w:szCs w:val="20"/>
        </w:rPr>
        <w:t xml:space="preserve">, Quantity </w:t>
      </w:r>
      <w:r w:rsidR="00F821F7">
        <w:rPr>
          <w:rFonts w:ascii="Arial" w:hAnsi="Arial" w:cs="Arial"/>
          <w:b/>
          <w:bCs/>
          <w:sz w:val="20"/>
          <w:szCs w:val="20"/>
        </w:rPr>
        <w:t xml:space="preserve">1 </w:t>
      </w:r>
      <w:r w:rsidR="00D62108">
        <w:rPr>
          <w:rFonts w:ascii="Arial" w:hAnsi="Arial" w:cs="Arial"/>
          <w:b/>
          <w:bCs/>
          <w:sz w:val="20"/>
          <w:szCs w:val="20"/>
        </w:rPr>
        <w:t>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F821F7">
        <w:rPr>
          <w:rFonts w:ascii="Arial" w:hAnsi="Arial" w:cs="Arial"/>
          <w:b/>
          <w:sz w:val="20"/>
          <w:szCs w:val="20"/>
        </w:rPr>
        <w:t>before 18</w:t>
      </w:r>
      <w:r w:rsidR="00151EE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F821F7">
        <w:rPr>
          <w:rFonts w:ascii="Arial" w:hAnsi="Arial" w:cs="Arial"/>
          <w:b/>
          <w:sz w:val="20"/>
          <w:szCs w:val="20"/>
        </w:rPr>
        <w:t>19</w:t>
      </w:r>
      <w:r w:rsidR="00151EE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3E6B64">
        <w:rPr>
          <w:rFonts w:ascii="Arial" w:hAnsi="Arial" w:cs="Arial"/>
          <w:b/>
          <w:sz w:val="20"/>
          <w:szCs w:val="20"/>
        </w:rPr>
        <w:t>TMH</w:t>
      </w:r>
      <w:r w:rsidR="00B205B3">
        <w:rPr>
          <w:rFonts w:ascii="Arial" w:hAnsi="Arial" w:cs="Arial"/>
          <w:b/>
          <w:sz w:val="20"/>
          <w:szCs w:val="20"/>
        </w:rPr>
        <w:t xml:space="preserve"> </w:t>
      </w:r>
      <w:r w:rsidR="003E6B64">
        <w:rPr>
          <w:rFonts w:ascii="Arial" w:hAnsi="Arial" w:cs="Arial"/>
          <w:b/>
          <w:sz w:val="20"/>
          <w:szCs w:val="20"/>
        </w:rPr>
        <w:t xml:space="preserve">(Exclusive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3E6B64">
        <w:rPr>
          <w:rFonts w:ascii="Arial" w:hAnsi="Arial" w:cs="Arial"/>
          <w:b/>
          <w:sz w:val="20"/>
          <w:szCs w:val="20"/>
        </w:rPr>
        <w:t xml:space="preserve">TMH (exclusive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3E6B64">
        <w:rPr>
          <w:rFonts w:cs="Arial"/>
          <w:b/>
          <w:sz w:val="20"/>
          <w:u w:val="single"/>
        </w:rPr>
        <w:t>5</w:t>
      </w:r>
      <w:r w:rsidR="00E82EE4">
        <w:rPr>
          <w:rFonts w:cs="Arial"/>
          <w:b/>
          <w:sz w:val="20"/>
          <w:u w:val="single"/>
        </w:rPr>
        <w:t xml:space="preserve">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3E6B64">
        <w:rPr>
          <w:rFonts w:cs="Arial"/>
          <w:b/>
          <w:sz w:val="20"/>
          <w:u w:val="single"/>
        </w:rPr>
        <w:t xml:space="preserve"> per annum for 5</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V</w:t>
      </w:r>
      <w:r w:rsidR="003E6B64">
        <w:rPr>
          <w:rFonts w:cs="Arial"/>
          <w:sz w:val="20"/>
        </w:rPr>
        <w:t>endors are required to provide 5</w:t>
      </w:r>
      <w:r w:rsidRPr="00961606">
        <w:rPr>
          <w:rFonts w:cs="Arial"/>
          <w:sz w:val="20"/>
        </w:rPr>
        <w:t xml:space="preserve">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3E6B64">
        <w:rPr>
          <w:rFonts w:cs="Arial"/>
          <w:sz w:val="20"/>
        </w:rPr>
        <w:t xml:space="preserve"> per annum for 5</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3E6B64">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3E6B64" w:rsidRDefault="003E6B64" w:rsidP="00924292">
      <w:pPr>
        <w:spacing w:after="0" w:line="240" w:lineRule="auto"/>
        <w:jc w:val="both"/>
        <w:rPr>
          <w:rFonts w:ascii="Arial" w:hAnsi="Arial" w:cs="Arial"/>
          <w:b/>
          <w:sz w:val="20"/>
          <w:szCs w:val="20"/>
        </w:rPr>
      </w:pPr>
    </w:p>
    <w:p w:rsidR="003E6B64" w:rsidRDefault="003E6B64"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3E6B64">
        <w:rPr>
          <w:rFonts w:ascii="Arial" w:hAnsi="Arial" w:cs="Arial"/>
          <w:b/>
          <w:bCs/>
          <w:sz w:val="20"/>
          <w:szCs w:val="20"/>
        </w:rPr>
        <w:t>Radio Visuo Gram (RVG)</w:t>
      </w:r>
      <w:r w:rsidR="00EE1715">
        <w:rPr>
          <w:rFonts w:ascii="Arial" w:hAnsi="Arial" w:cs="Arial"/>
          <w:b/>
          <w:bCs/>
          <w:sz w:val="20"/>
          <w:szCs w:val="20"/>
        </w:rPr>
        <w:t>”</w:t>
      </w:r>
      <w:r w:rsidR="000A0028">
        <w:rPr>
          <w:rFonts w:ascii="Arial" w:hAnsi="Arial" w:cs="Arial"/>
          <w:b/>
          <w:bCs/>
          <w:sz w:val="20"/>
          <w:szCs w:val="20"/>
        </w:rPr>
        <w:t xml:space="preserve">, Quantity </w:t>
      </w:r>
      <w:r w:rsidR="003E6B64">
        <w:rPr>
          <w:rFonts w:ascii="Arial" w:hAnsi="Arial" w:cs="Arial"/>
          <w:b/>
          <w:bCs/>
          <w:sz w:val="20"/>
          <w:szCs w:val="20"/>
        </w:rPr>
        <w:t>1 no.</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3E6B64">
        <w:rPr>
          <w:rFonts w:ascii="Arial" w:hAnsi="Arial" w:cs="Arial"/>
          <w:sz w:val="20"/>
          <w:szCs w:val="20"/>
        </w:rPr>
        <w:t>er charges + 5</w:t>
      </w:r>
      <w:r w:rsidR="00961606">
        <w:rPr>
          <w:rFonts w:ascii="Arial" w:hAnsi="Arial" w:cs="Arial"/>
          <w:sz w:val="20"/>
          <w:szCs w:val="20"/>
        </w:rPr>
        <w:t xml:space="preserve">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3E6B64">
        <w:rPr>
          <w:rFonts w:ascii="Arial" w:hAnsi="Arial" w:cs="Arial"/>
          <w:sz w:val="20"/>
          <w:szCs w:val="20"/>
        </w:rPr>
        <w:t xml:space="preserve"> for 5</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3E6B64">
        <w:rPr>
          <w:rFonts w:ascii="Arial" w:hAnsi="Arial" w:cs="Arial"/>
          <w:sz w:val="20"/>
          <w:szCs w:val="20"/>
        </w:rPr>
        <w:t>+ 5</w:t>
      </w:r>
      <w:r w:rsidR="00961606">
        <w:rPr>
          <w:rFonts w:ascii="Arial" w:hAnsi="Arial" w:cs="Arial"/>
          <w:sz w:val="20"/>
          <w:szCs w:val="20"/>
        </w:rPr>
        <w:t xml:space="preserve">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3E6B64">
        <w:rPr>
          <w:rFonts w:ascii="Arial" w:hAnsi="Arial" w:cs="Arial"/>
          <w:sz w:val="20"/>
          <w:szCs w:val="20"/>
        </w:rPr>
        <w:t xml:space="preserve"> for 5</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3E6B64">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3E6B64" w:rsidP="00924292">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10.1.3</w:t>
      </w:r>
      <w:r>
        <w:rPr>
          <w:rFonts w:ascii="Arial" w:eastAsia="Times New Roman" w:hAnsi="Arial" w:cs="Arial"/>
          <w:sz w:val="20"/>
          <w:szCs w:val="20"/>
        </w:rPr>
        <w:tab/>
        <w:t>If 5</w:t>
      </w:r>
      <w:r w:rsidR="00924292" w:rsidRPr="00961606">
        <w:rPr>
          <w:rFonts w:ascii="Arial" w:eastAsia="Times New Roman" w:hAnsi="Arial" w:cs="Arial"/>
          <w:sz w:val="20"/>
          <w:szCs w:val="20"/>
        </w:rPr>
        <w:t xml:space="preserve"> years </w:t>
      </w:r>
      <w:r w:rsidR="00F35361">
        <w:rPr>
          <w:rFonts w:ascii="Arial" w:eastAsia="Times New Roman" w:hAnsi="Arial" w:cs="Arial"/>
          <w:sz w:val="20"/>
          <w:szCs w:val="20"/>
        </w:rPr>
        <w:t>w</w:t>
      </w:r>
      <w:r w:rsidR="00924292"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Pr>
          <w:rFonts w:ascii="Arial" w:hAnsi="Arial" w:cs="Arial"/>
          <w:sz w:val="20"/>
          <w:szCs w:val="20"/>
        </w:rPr>
        <w:t xml:space="preserve"> for 5</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00924292"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091F2B">
        <w:rPr>
          <w:rFonts w:ascii="Arial" w:hAnsi="Arial" w:cs="Arial"/>
          <w:b/>
          <w:sz w:val="20"/>
          <w:szCs w:val="20"/>
        </w:rPr>
        <w:t>TMH/TM</w:t>
      </w:r>
      <w:r w:rsidR="003E6B64">
        <w:rPr>
          <w:rFonts w:ascii="Arial" w:hAnsi="Arial" w:cs="Arial"/>
          <w:b/>
          <w:sz w:val="20"/>
          <w:szCs w:val="20"/>
        </w:rPr>
        <w:t>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3E6B64">
        <w:rPr>
          <w:rFonts w:ascii="Arial" w:hAnsi="Arial" w:cs="Arial"/>
          <w:b/>
          <w:sz w:val="20"/>
          <w:szCs w:val="20"/>
        </w:rPr>
        <w:t>137</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3E6B64">
        <w:rPr>
          <w:rFonts w:ascii="Arial" w:hAnsi="Arial" w:cs="Arial"/>
          <w:b/>
          <w:bCs/>
          <w:sz w:val="20"/>
          <w:szCs w:val="20"/>
        </w:rPr>
        <w:t>Radio Visuo Gram (RVG)</w:t>
      </w:r>
      <w:r w:rsidR="003A2CA8">
        <w:rPr>
          <w:rFonts w:ascii="Arial" w:hAnsi="Arial" w:cs="Arial"/>
          <w:b/>
          <w:bCs/>
          <w:sz w:val="20"/>
          <w:szCs w:val="20"/>
        </w:rPr>
        <w:t xml:space="preserve">”, Quantity </w:t>
      </w:r>
      <w:r w:rsidR="003E6B64">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w:t>
      </w:r>
      <w:r w:rsidR="003E6B64">
        <w:rPr>
          <w:rFonts w:ascii="Arial" w:hAnsi="Arial" w:cs="Arial"/>
          <w:sz w:val="20"/>
          <w:szCs w:val="20"/>
        </w:rPr>
        <w:t>t for proposals document (i.e. 5</w:t>
      </w:r>
      <w:r w:rsidRPr="00961606">
        <w:rPr>
          <w:rFonts w:ascii="Arial" w:hAnsi="Arial" w:cs="Arial"/>
          <w:sz w:val="20"/>
          <w:szCs w:val="20"/>
        </w:rPr>
        <w:t xml:space="preserve">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equipment : </w:t>
      </w:r>
      <w:r w:rsidR="003E6B64">
        <w:rPr>
          <w:rFonts w:ascii="Arial" w:hAnsi="Arial" w:cs="Arial"/>
          <w:b/>
          <w:sz w:val="20"/>
          <w:szCs w:val="20"/>
        </w:rPr>
        <w:t>Radio Visuo Gram (RVG)</w:t>
      </w:r>
      <w:r w:rsidR="007C2B54">
        <w:rPr>
          <w:rFonts w:ascii="Arial" w:hAnsi="Arial" w:cs="Arial"/>
          <w:b/>
          <w:bCs/>
          <w:sz w:val="20"/>
          <w:szCs w:val="20"/>
        </w:rPr>
        <w:t xml:space="preserve">, Quantity </w:t>
      </w:r>
      <w:r w:rsidR="003E6B64">
        <w:rPr>
          <w:rFonts w:ascii="Arial" w:hAnsi="Arial" w:cs="Arial"/>
          <w:b/>
          <w:bCs/>
          <w:sz w:val="20"/>
          <w:szCs w:val="20"/>
        </w:rPr>
        <w:t>1</w:t>
      </w:r>
      <w:r w:rsidR="00F66D41">
        <w:rPr>
          <w:rFonts w:ascii="Arial" w:hAnsi="Arial" w:cs="Arial"/>
          <w:b/>
          <w:bCs/>
          <w:sz w:val="20"/>
          <w:szCs w:val="20"/>
        </w:rPr>
        <w:t xml:space="preserve"> no</w:t>
      </w:r>
      <w:r w:rsidR="009047CC">
        <w:rPr>
          <w:rFonts w:ascii="Arial" w:hAnsi="Arial" w:cs="Arial"/>
          <w:b/>
          <w:bCs/>
          <w:sz w:val="20"/>
          <w:szCs w:val="20"/>
        </w:rPr>
        <w:t xml:space="preserve">. </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1417"/>
        <w:gridCol w:w="1418"/>
        <w:gridCol w:w="1559"/>
      </w:tblGrid>
      <w:tr w:rsidR="00717812" w:rsidRPr="00F00D26" w:rsidTr="009047C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3E6B64" w:rsidP="000E6ED5">
            <w:pPr>
              <w:jc w:val="center"/>
              <w:rPr>
                <w:rFonts w:ascii="Arial" w:hAnsi="Arial" w:cs="Arial"/>
                <w:b/>
                <w:bCs/>
                <w:sz w:val="20"/>
                <w:szCs w:val="20"/>
              </w:rPr>
            </w:pPr>
            <w:r>
              <w:rPr>
                <w:rFonts w:ascii="Arial" w:hAnsi="Arial" w:cs="Arial"/>
                <w:b/>
                <w:bCs/>
                <w:sz w:val="20"/>
                <w:szCs w:val="20"/>
              </w:rPr>
              <w:t>Quantity</w:t>
            </w:r>
          </w:p>
        </w:tc>
        <w:tc>
          <w:tcPr>
            <w:tcW w:w="1418" w:type="dxa"/>
            <w:tcBorders>
              <w:top w:val="single" w:sz="4" w:space="0" w:color="auto"/>
              <w:left w:val="single" w:sz="4" w:space="0" w:color="auto"/>
              <w:bottom w:val="single" w:sz="4" w:space="0" w:color="auto"/>
              <w:right w:val="single" w:sz="4" w:space="0" w:color="auto"/>
            </w:tcBorders>
          </w:tcPr>
          <w:p w:rsidR="00717812" w:rsidRPr="00F00D26" w:rsidRDefault="003E6B64" w:rsidP="000E6ED5">
            <w:pPr>
              <w:jc w:val="center"/>
              <w:rPr>
                <w:rFonts w:ascii="Arial" w:hAnsi="Arial" w:cs="Arial"/>
                <w:b/>
                <w:bCs/>
                <w:sz w:val="20"/>
                <w:szCs w:val="20"/>
              </w:rPr>
            </w:pPr>
            <w:r>
              <w:rPr>
                <w:rFonts w:ascii="Arial" w:hAnsi="Arial" w:cs="Arial"/>
                <w:b/>
                <w:bCs/>
                <w:sz w:val="20"/>
                <w:szCs w:val="20"/>
              </w:rPr>
              <w:t>Unit Price (indicate currency clearly)</w:t>
            </w: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3E6B64" w:rsidP="000E6ED5">
            <w:pPr>
              <w:jc w:val="center"/>
              <w:rPr>
                <w:rFonts w:ascii="Arial" w:hAnsi="Arial" w:cs="Arial"/>
                <w:b/>
                <w:bCs/>
                <w:sz w:val="20"/>
                <w:szCs w:val="20"/>
              </w:rPr>
            </w:pPr>
            <w:r>
              <w:rPr>
                <w:rFonts w:ascii="Arial" w:hAnsi="Arial" w:cs="Arial"/>
                <w:b/>
                <w:bCs/>
                <w:sz w:val="20"/>
                <w:szCs w:val="20"/>
              </w:rPr>
              <w:t>Total Price (indicate currency clearly)</w:t>
            </w:r>
          </w:p>
        </w:tc>
      </w:tr>
      <w:tr w:rsidR="00717812" w:rsidRPr="00F00D26" w:rsidTr="009047C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sidR="00715253">
              <w:rPr>
                <w:rFonts w:ascii="Arial" w:hAnsi="Arial" w:cs="Arial"/>
                <w:b/>
                <w:noProof/>
                <w:sz w:val="20"/>
                <w:szCs w:val="20"/>
              </w:rPr>
              <w:t>5</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3E6B64" w:rsidP="000E6ED5">
            <w:pPr>
              <w:jc w:val="center"/>
              <w:rPr>
                <w:rFonts w:ascii="Arial" w:hAnsi="Arial" w:cs="Arial"/>
                <w:b/>
                <w:sz w:val="20"/>
                <w:szCs w:val="20"/>
              </w:rPr>
            </w:pPr>
            <w:r>
              <w:rPr>
                <w:rFonts w:ascii="Arial" w:hAnsi="Arial" w:cs="Arial"/>
                <w:b/>
                <w:sz w:val="20"/>
                <w:szCs w:val="20"/>
              </w:rPr>
              <w:t>1 no.</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A35B4A">
            <w:pPr>
              <w:rPr>
                <w:rFonts w:ascii="Arial" w:hAnsi="Arial" w:cs="Arial"/>
                <w:b/>
                <w:sz w:val="20"/>
                <w:szCs w:val="20"/>
              </w:rPr>
            </w:pPr>
            <w:r w:rsidRPr="00F00D26">
              <w:rPr>
                <w:rFonts w:ascii="Arial" w:hAnsi="Arial" w:cs="Arial"/>
                <w:b/>
                <w:sz w:val="20"/>
                <w:szCs w:val="20"/>
              </w:rPr>
              <w:t xml:space="preserve">Total FOB cost, </w:t>
            </w:r>
            <w:r w:rsidR="00A35B4A">
              <w:rPr>
                <w:rFonts w:ascii="Arial" w:hAnsi="Arial" w:cs="Arial"/>
                <w:b/>
                <w:sz w:val="20"/>
                <w:szCs w:val="20"/>
              </w:rPr>
              <w:t>TMH.</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A35B4A">
            <w:pPr>
              <w:rPr>
                <w:rFonts w:ascii="Arial" w:hAnsi="Arial" w:cs="Arial"/>
                <w:b/>
                <w:sz w:val="20"/>
                <w:szCs w:val="20"/>
              </w:rPr>
            </w:pPr>
            <w:r>
              <w:rPr>
                <w:rFonts w:ascii="Arial" w:hAnsi="Arial" w:cs="Arial"/>
                <w:b/>
                <w:sz w:val="20"/>
                <w:szCs w:val="20"/>
              </w:rPr>
              <w:t xml:space="preserve">Total CIF cost, </w:t>
            </w:r>
            <w:r w:rsidR="00A35B4A">
              <w:rPr>
                <w:rFonts w:ascii="Arial" w:hAnsi="Arial" w:cs="Arial"/>
                <w:b/>
                <w:sz w:val="20"/>
                <w:szCs w:val="20"/>
              </w:rPr>
              <w:t xml:space="preserve">TMH </w:t>
            </w:r>
            <w:r w:rsidR="00717812" w:rsidRPr="00F00D26">
              <w:rPr>
                <w:rFonts w:ascii="Arial" w:hAnsi="Arial" w:cs="Arial"/>
                <w:b/>
                <w:sz w:val="20"/>
                <w:szCs w:val="20"/>
              </w:rPr>
              <w:t>/ Total cost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sidR="00A35B4A">
              <w:rPr>
                <w:rFonts w:ascii="Arial" w:hAnsi="Arial" w:cs="Arial"/>
                <w:sz w:val="20"/>
                <w:szCs w:val="20"/>
              </w:rPr>
              <w:t>maximum 2% per annum for 5</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A35B4A">
              <w:rPr>
                <w:rFonts w:ascii="Arial" w:hAnsi="Arial" w:cs="Arial"/>
                <w:sz w:val="20"/>
                <w:szCs w:val="20"/>
              </w:rPr>
              <w:t xml:space="preserve"> (i.e. Equipment cost with 5</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A35B4A">
              <w:rPr>
                <w:rFonts w:ascii="Arial" w:hAnsi="Arial" w:cs="Arial"/>
                <w:sz w:val="20"/>
                <w:szCs w:val="20"/>
              </w:rPr>
              <w:t>2% per annum for 5</w:t>
            </w:r>
            <w:r w:rsidR="005264FB">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A35B4A">
              <w:rPr>
                <w:rFonts w:ascii="Arial" w:hAnsi="Arial" w:cs="Arial"/>
                <w:sz w:val="20"/>
                <w:szCs w:val="20"/>
              </w:rPr>
              <w:t>(i.e. Equipment cost with 5</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A35B4A">
              <w:rPr>
                <w:rFonts w:ascii="Arial" w:hAnsi="Arial" w:cs="Arial"/>
                <w:sz w:val="20"/>
                <w:szCs w:val="20"/>
              </w:rPr>
              <w:t>2% per annum for 5</w:t>
            </w:r>
            <w:r w:rsidR="0071178F">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9047CC">
      <w:pPr>
        <w:rPr>
          <w:rFonts w:ascii="Arial" w:hAnsi="Arial" w:cs="Arial"/>
          <w:b/>
          <w:sz w:val="20"/>
          <w:szCs w:val="20"/>
        </w:rPr>
      </w:pPr>
    </w:p>
    <w:p w:rsidR="009047CC" w:rsidRDefault="009047CC" w:rsidP="009047CC">
      <w:pPr>
        <w:rPr>
          <w:rFonts w:ascii="Arial" w:hAnsi="Arial" w:cs="Arial"/>
          <w:b/>
          <w:sz w:val="20"/>
          <w:szCs w:val="20"/>
        </w:rPr>
      </w:pPr>
    </w:p>
    <w:p w:rsidR="00A35B4A" w:rsidRDefault="00A35B4A" w:rsidP="009047CC">
      <w:pPr>
        <w:rPr>
          <w:rFonts w:ascii="Arial" w:hAnsi="Arial" w:cs="Arial"/>
          <w:b/>
          <w:sz w:val="20"/>
          <w:szCs w:val="20"/>
        </w:rPr>
      </w:pPr>
    </w:p>
    <w:p w:rsidR="00A35B4A" w:rsidRDefault="00A35B4A" w:rsidP="009047CC">
      <w:pPr>
        <w:rPr>
          <w:rFonts w:ascii="Arial" w:hAnsi="Arial" w:cs="Arial"/>
          <w:b/>
          <w:sz w:val="20"/>
          <w:szCs w:val="20"/>
        </w:rPr>
      </w:pPr>
    </w:p>
    <w:p w:rsidR="00A35B4A" w:rsidRDefault="00A35B4A" w:rsidP="009047CC">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06A4"/>
    <w:rsid w:val="00004085"/>
    <w:rsid w:val="000056B0"/>
    <w:rsid w:val="000139CB"/>
    <w:rsid w:val="000637D4"/>
    <w:rsid w:val="00080CDB"/>
    <w:rsid w:val="00091F2B"/>
    <w:rsid w:val="000A0028"/>
    <w:rsid w:val="000A15D7"/>
    <w:rsid w:val="000A25C5"/>
    <w:rsid w:val="000A2AC7"/>
    <w:rsid w:val="000A6D78"/>
    <w:rsid w:val="000B33DA"/>
    <w:rsid w:val="000C53FB"/>
    <w:rsid w:val="000E1253"/>
    <w:rsid w:val="000F0C03"/>
    <w:rsid w:val="00116D9A"/>
    <w:rsid w:val="00122A5D"/>
    <w:rsid w:val="00131C80"/>
    <w:rsid w:val="00151EEE"/>
    <w:rsid w:val="0016024A"/>
    <w:rsid w:val="001966FA"/>
    <w:rsid w:val="001B02A4"/>
    <w:rsid w:val="001B7A74"/>
    <w:rsid w:val="001C1EEE"/>
    <w:rsid w:val="002053C2"/>
    <w:rsid w:val="00254AD0"/>
    <w:rsid w:val="0026253A"/>
    <w:rsid w:val="002660FF"/>
    <w:rsid w:val="00266659"/>
    <w:rsid w:val="00274E45"/>
    <w:rsid w:val="002B46B8"/>
    <w:rsid w:val="002B7022"/>
    <w:rsid w:val="002C2EBB"/>
    <w:rsid w:val="002C5268"/>
    <w:rsid w:val="002C6264"/>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E6B64"/>
    <w:rsid w:val="003F76EA"/>
    <w:rsid w:val="00424A2F"/>
    <w:rsid w:val="004273AC"/>
    <w:rsid w:val="00435C1C"/>
    <w:rsid w:val="00442767"/>
    <w:rsid w:val="004746DA"/>
    <w:rsid w:val="00483794"/>
    <w:rsid w:val="00484269"/>
    <w:rsid w:val="00492004"/>
    <w:rsid w:val="004950B0"/>
    <w:rsid w:val="004954AD"/>
    <w:rsid w:val="004974A2"/>
    <w:rsid w:val="004A20C2"/>
    <w:rsid w:val="004A7854"/>
    <w:rsid w:val="004B307F"/>
    <w:rsid w:val="004B3D90"/>
    <w:rsid w:val="004B6DE6"/>
    <w:rsid w:val="004B769E"/>
    <w:rsid w:val="004C6C8C"/>
    <w:rsid w:val="004D013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C20"/>
    <w:rsid w:val="00616DD5"/>
    <w:rsid w:val="006273FF"/>
    <w:rsid w:val="0065774C"/>
    <w:rsid w:val="00690046"/>
    <w:rsid w:val="006A4605"/>
    <w:rsid w:val="006B1618"/>
    <w:rsid w:val="006B21B0"/>
    <w:rsid w:val="006B254B"/>
    <w:rsid w:val="006D2908"/>
    <w:rsid w:val="006E5AE8"/>
    <w:rsid w:val="00703286"/>
    <w:rsid w:val="0071178F"/>
    <w:rsid w:val="00715253"/>
    <w:rsid w:val="00716973"/>
    <w:rsid w:val="00717812"/>
    <w:rsid w:val="007317F4"/>
    <w:rsid w:val="0073217A"/>
    <w:rsid w:val="00735B84"/>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047CC"/>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5B4A"/>
    <w:rsid w:val="00A50064"/>
    <w:rsid w:val="00A66DF8"/>
    <w:rsid w:val="00AB0455"/>
    <w:rsid w:val="00AB052D"/>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D39DE"/>
    <w:rsid w:val="00CE3DE9"/>
    <w:rsid w:val="00D037AB"/>
    <w:rsid w:val="00D066B0"/>
    <w:rsid w:val="00D2424C"/>
    <w:rsid w:val="00D40BD6"/>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467A1"/>
    <w:rsid w:val="00E64209"/>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821F7"/>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2021-12-16T08:35:00Z</cp:lastPrinted>
  <dcterms:created xsi:type="dcterms:W3CDTF">2021-12-24T10:03:00Z</dcterms:created>
  <dcterms:modified xsi:type="dcterms:W3CDTF">2021-12-24T10:03:00Z</dcterms:modified>
</cp:coreProperties>
</file>